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7F" w:rsidRDefault="00D22E7F" w:rsidP="00D22E7F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D22E7F" w:rsidRPr="00AC0DA4" w:rsidTr="004E3D19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7F" w:rsidRPr="00AC0DA4" w:rsidRDefault="00D22E7F" w:rsidP="004E3D19">
            <w:pPr>
              <w:spacing w:line="276" w:lineRule="auto"/>
              <w:jc w:val="center"/>
              <w:rPr>
                <w:bCs/>
                <w:spacing w:val="-10"/>
              </w:rPr>
            </w:pPr>
            <w:r w:rsidRPr="00AC0DA4">
              <w:rPr>
                <w:bCs/>
                <w:spacing w:val="-10"/>
              </w:rPr>
              <w:t>ЧАКМАРИЙ ЯЛ КУНДЕМ</w:t>
            </w:r>
          </w:p>
          <w:p w:rsidR="00D22E7F" w:rsidRPr="00AC0DA4" w:rsidRDefault="00D22E7F" w:rsidP="004E3D19">
            <w:pPr>
              <w:spacing w:line="276" w:lineRule="auto"/>
              <w:jc w:val="center"/>
              <w:rPr>
                <w:bCs/>
                <w:spacing w:val="-10"/>
              </w:rPr>
            </w:pPr>
            <w:r w:rsidRPr="00AC0DA4">
              <w:rPr>
                <w:bCs/>
                <w:spacing w:val="-10"/>
              </w:rPr>
              <w:t>НЫЛЫМШЕ СОЗЫВ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7F" w:rsidRPr="00AC0DA4" w:rsidRDefault="00D22E7F" w:rsidP="004E3D19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E7F" w:rsidRPr="0039340A" w:rsidRDefault="00D22E7F" w:rsidP="004E3D19">
            <w:pPr>
              <w:pStyle w:val="a4"/>
              <w:spacing w:line="276" w:lineRule="auto"/>
              <w:rPr>
                <w:b w:val="0"/>
                <w:bCs w:val="0"/>
                <w:spacing w:val="-6"/>
                <w:sz w:val="24"/>
                <w:szCs w:val="24"/>
              </w:rPr>
            </w:pPr>
            <w:r w:rsidRPr="0039340A">
              <w:rPr>
                <w:b w:val="0"/>
                <w:sz w:val="24"/>
                <w:szCs w:val="24"/>
              </w:rPr>
              <w:t>СОБРАНИЕ ДЕПУТАТОВ КРАСНОЯРСКОГО СЕЛЬСКОГО ПОСЕЛЕНИЯ ЧЕТВЕРТОГО СОЗЫВА</w:t>
            </w:r>
          </w:p>
        </w:tc>
      </w:tr>
      <w:tr w:rsidR="00D22E7F" w:rsidRPr="00AC0DA4" w:rsidTr="004E3D19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22E7F" w:rsidRPr="00AC0DA4" w:rsidRDefault="00D22E7F" w:rsidP="004E3D19">
            <w:pPr>
              <w:spacing w:line="276" w:lineRule="auto"/>
              <w:jc w:val="center"/>
              <w:rPr>
                <w:bCs/>
              </w:rPr>
            </w:pPr>
            <w:r w:rsidRPr="00AC0DA4">
              <w:rPr>
                <w:bCs/>
              </w:rPr>
              <w:t xml:space="preserve">Рудо </w:t>
            </w:r>
            <w:proofErr w:type="spellStart"/>
            <w:r w:rsidRPr="00AC0DA4">
              <w:rPr>
                <w:bCs/>
              </w:rPr>
              <w:t>ур</w:t>
            </w:r>
            <w:proofErr w:type="spellEnd"/>
            <w:r w:rsidRPr="00AC0DA4">
              <w:rPr>
                <w:bCs/>
              </w:rPr>
              <w:t xml:space="preserve">., 14, </w:t>
            </w:r>
          </w:p>
          <w:p w:rsidR="00D22E7F" w:rsidRPr="00AC0DA4" w:rsidRDefault="00D22E7F" w:rsidP="004E3D19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AC0DA4">
              <w:rPr>
                <w:bCs/>
              </w:rPr>
              <w:t>Чакмарий</w:t>
            </w:r>
            <w:proofErr w:type="spellEnd"/>
            <w:r w:rsidRPr="00AC0DA4">
              <w:rPr>
                <w:bCs/>
              </w:rPr>
              <w:t xml:space="preserve"> ял, Звенигово район, </w:t>
            </w:r>
          </w:p>
          <w:p w:rsidR="00D22E7F" w:rsidRPr="00AC0DA4" w:rsidRDefault="00D22E7F" w:rsidP="004E3D19">
            <w:pPr>
              <w:spacing w:line="276" w:lineRule="auto"/>
              <w:jc w:val="center"/>
              <w:rPr>
                <w:bCs/>
              </w:rPr>
            </w:pPr>
            <w:r w:rsidRPr="00AC0DA4">
              <w:rPr>
                <w:bCs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22E7F" w:rsidRPr="00AC0DA4" w:rsidRDefault="00D22E7F" w:rsidP="004E3D19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22E7F" w:rsidRPr="00AC0DA4" w:rsidRDefault="00D22E7F" w:rsidP="004E3D19">
            <w:pPr>
              <w:spacing w:line="276" w:lineRule="auto"/>
              <w:jc w:val="center"/>
              <w:rPr>
                <w:bCs/>
              </w:rPr>
            </w:pPr>
            <w:r w:rsidRPr="00AC0DA4">
              <w:rPr>
                <w:bCs/>
              </w:rPr>
              <w:t xml:space="preserve">ул. Центральная, 14, </w:t>
            </w:r>
          </w:p>
          <w:p w:rsidR="00D22E7F" w:rsidRPr="00AC0DA4" w:rsidRDefault="00D22E7F" w:rsidP="004E3D19">
            <w:pPr>
              <w:spacing w:line="276" w:lineRule="auto"/>
              <w:jc w:val="center"/>
              <w:rPr>
                <w:bCs/>
              </w:rPr>
            </w:pPr>
            <w:r w:rsidRPr="00AC0DA4">
              <w:rPr>
                <w:bCs/>
              </w:rPr>
              <w:t>с. Красный Яр, Звениговский район, Республика Марий Эл, 425072</w:t>
            </w:r>
          </w:p>
        </w:tc>
      </w:tr>
      <w:tr w:rsidR="00D22E7F" w:rsidRPr="00AC0DA4" w:rsidTr="004E3D19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D22E7F" w:rsidRPr="00AC0DA4" w:rsidRDefault="00D22E7F" w:rsidP="004E3D19">
            <w:pPr>
              <w:spacing w:line="276" w:lineRule="auto"/>
              <w:jc w:val="center"/>
              <w:rPr>
                <w:bCs/>
              </w:rPr>
            </w:pPr>
            <w:r w:rsidRPr="00AC0DA4">
              <w:rPr>
                <w:bCs/>
              </w:rPr>
              <w:t>тел./факс:(8-83645)6-41-16;(8-83645) 6-42-05, ИНН/КПП/1203006240/120301001</w:t>
            </w:r>
          </w:p>
        </w:tc>
      </w:tr>
    </w:tbl>
    <w:p w:rsidR="00D22E7F" w:rsidRPr="003913F4" w:rsidRDefault="00D22E7F" w:rsidP="00D22E7F">
      <w:pPr>
        <w:jc w:val="center"/>
        <w:rPr>
          <w:sz w:val="28"/>
          <w:szCs w:val="28"/>
        </w:rPr>
      </w:pPr>
      <w:r w:rsidRPr="003913F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D22E7F" w:rsidRPr="003913F4" w:rsidRDefault="00D22E7F" w:rsidP="00D22E7F">
      <w:pPr>
        <w:jc w:val="both"/>
        <w:rPr>
          <w:sz w:val="28"/>
          <w:szCs w:val="28"/>
        </w:rPr>
      </w:pPr>
      <w:r w:rsidRPr="003913F4">
        <w:rPr>
          <w:sz w:val="28"/>
          <w:szCs w:val="28"/>
        </w:rPr>
        <w:t xml:space="preserve">Созыв четвертый                                                                  </w:t>
      </w:r>
      <w:r>
        <w:rPr>
          <w:sz w:val="28"/>
          <w:szCs w:val="28"/>
        </w:rPr>
        <w:t xml:space="preserve">        </w:t>
      </w:r>
      <w:r w:rsidRPr="003913F4">
        <w:rPr>
          <w:sz w:val="28"/>
          <w:szCs w:val="28"/>
        </w:rPr>
        <w:t>с. Красный Яр</w:t>
      </w:r>
    </w:p>
    <w:p w:rsidR="00D22E7F" w:rsidRPr="003913F4" w:rsidRDefault="00D22E7F" w:rsidP="00D22E7F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- 27</w:t>
      </w:r>
      <w:r w:rsidRPr="003913F4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28</w:t>
      </w:r>
      <w:r w:rsidRPr="003913F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2023 года</w:t>
      </w:r>
    </w:p>
    <w:p w:rsidR="00D22E7F" w:rsidRDefault="00D22E7F" w:rsidP="00D22E7F">
      <w:pPr>
        <w:rPr>
          <w:sz w:val="28"/>
          <w:szCs w:val="28"/>
        </w:rPr>
      </w:pPr>
      <w:r w:rsidRPr="003913F4">
        <w:rPr>
          <w:sz w:val="28"/>
          <w:szCs w:val="28"/>
        </w:rPr>
        <w:t xml:space="preserve">№ </w:t>
      </w:r>
      <w:r w:rsidR="00840A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76C8E">
        <w:rPr>
          <w:sz w:val="28"/>
          <w:szCs w:val="28"/>
        </w:rPr>
        <w:t>162</w:t>
      </w:r>
      <w:r>
        <w:rPr>
          <w:sz w:val="28"/>
          <w:szCs w:val="28"/>
        </w:rPr>
        <w:t xml:space="preserve"> </w:t>
      </w:r>
    </w:p>
    <w:p w:rsidR="00B71DD3" w:rsidRDefault="00B71DD3" w:rsidP="00D22E7F">
      <w:pPr>
        <w:rPr>
          <w:sz w:val="28"/>
          <w:szCs w:val="28"/>
        </w:rPr>
      </w:pPr>
    </w:p>
    <w:p w:rsidR="00D22E7F" w:rsidRDefault="00D22E7F" w:rsidP="00D22E7F">
      <w:pPr>
        <w:widowControl w:val="0"/>
        <w:autoSpaceDE w:val="0"/>
        <w:autoSpaceDN w:val="0"/>
        <w:adjustRightInd w:val="0"/>
        <w:ind w:right="-1"/>
        <w:rPr>
          <w:b/>
          <w:bCs/>
          <w:sz w:val="28"/>
          <w:szCs w:val="28"/>
        </w:rPr>
      </w:pPr>
    </w:p>
    <w:p w:rsidR="007D151D" w:rsidRDefault="007D151D" w:rsidP="007D151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внесении изменений в Положение о муниципальном  контроле в </w:t>
      </w:r>
      <w:r w:rsidR="00840ADA">
        <w:rPr>
          <w:b/>
          <w:bCs/>
          <w:sz w:val="28"/>
          <w:szCs w:val="28"/>
        </w:rPr>
        <w:t>сфере благоустройства на территории</w:t>
      </w:r>
      <w:proofErr w:type="gramEnd"/>
      <w:r w:rsidR="00840ADA">
        <w:rPr>
          <w:b/>
          <w:bCs/>
          <w:sz w:val="28"/>
          <w:szCs w:val="28"/>
        </w:rPr>
        <w:t xml:space="preserve"> Красноярского сельского</w:t>
      </w:r>
      <w:r w:rsidR="00C51677">
        <w:rPr>
          <w:b/>
          <w:bCs/>
          <w:sz w:val="28"/>
          <w:szCs w:val="28"/>
        </w:rPr>
        <w:t xml:space="preserve"> поселения</w:t>
      </w:r>
      <w:r w:rsidR="00840ADA">
        <w:rPr>
          <w:b/>
          <w:bCs/>
          <w:sz w:val="28"/>
          <w:szCs w:val="28"/>
        </w:rPr>
        <w:t>, утвержденное решением № 91</w:t>
      </w:r>
      <w:r>
        <w:rPr>
          <w:b/>
          <w:bCs/>
          <w:sz w:val="28"/>
          <w:szCs w:val="28"/>
        </w:rPr>
        <w:t xml:space="preserve">  от 30.09.2021 г. </w:t>
      </w:r>
      <w:r w:rsidR="00840ADA">
        <w:rPr>
          <w:b/>
          <w:bCs/>
          <w:sz w:val="28"/>
          <w:szCs w:val="28"/>
        </w:rPr>
        <w:t>(в ред. решений № 100 от 25.11</w:t>
      </w:r>
      <w:r w:rsidR="00C51677">
        <w:rPr>
          <w:b/>
          <w:bCs/>
          <w:sz w:val="28"/>
          <w:szCs w:val="28"/>
        </w:rPr>
        <w:t>.2021</w:t>
      </w:r>
      <w:r>
        <w:rPr>
          <w:b/>
          <w:bCs/>
          <w:sz w:val="28"/>
          <w:szCs w:val="28"/>
        </w:rPr>
        <w:t xml:space="preserve"> г.</w:t>
      </w:r>
      <w:r w:rsidR="00840ADA">
        <w:rPr>
          <w:b/>
          <w:bCs/>
          <w:sz w:val="28"/>
          <w:szCs w:val="28"/>
        </w:rPr>
        <w:t>, № 120 от 24.02.2022 г.</w:t>
      </w:r>
      <w:r>
        <w:rPr>
          <w:b/>
          <w:bCs/>
          <w:sz w:val="28"/>
          <w:szCs w:val="28"/>
        </w:rPr>
        <w:t>)</w:t>
      </w:r>
    </w:p>
    <w:p w:rsidR="00D22E7F" w:rsidRPr="006933DE" w:rsidRDefault="00D22E7F" w:rsidP="00D22E7F">
      <w:pPr>
        <w:ind w:firstLine="709"/>
        <w:jc w:val="both"/>
        <w:rPr>
          <w:sz w:val="26"/>
          <w:szCs w:val="26"/>
        </w:rPr>
      </w:pPr>
    </w:p>
    <w:p w:rsidR="00D22E7F" w:rsidRPr="007D151D" w:rsidRDefault="007D151D" w:rsidP="007D151D">
      <w:pPr>
        <w:pStyle w:val="1"/>
        <w:shd w:val="clear" w:color="auto" w:fill="FFFFFF"/>
        <w:spacing w:before="161" w:after="161"/>
        <w:ind w:hanging="375"/>
        <w:jc w:val="both"/>
        <w:rPr>
          <w:bCs/>
          <w:szCs w:val="28"/>
        </w:rPr>
      </w:pPr>
      <w:r>
        <w:rPr>
          <w:bCs/>
          <w:szCs w:val="28"/>
        </w:rPr>
        <w:t xml:space="preserve">                </w:t>
      </w:r>
      <w:proofErr w:type="gramStart"/>
      <w:r>
        <w:rPr>
          <w:bCs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№ 336 от 10.03.2022 г. «</w:t>
      </w:r>
      <w:r>
        <w:rPr>
          <w:color w:val="22272F"/>
          <w:szCs w:val="28"/>
        </w:rPr>
        <w:t xml:space="preserve">Об особенностях организации и осуществления государственного контроля (надзора), муниципального контроля», </w:t>
      </w:r>
      <w:r w:rsidR="00D22E7F" w:rsidRPr="007D151D">
        <w:rPr>
          <w:szCs w:val="28"/>
        </w:rPr>
        <w:t xml:space="preserve">Уставом Красноярского сельского поселения Звениговского муниципального района Республики Марий Эл, Собрание депутатов Красноярского сельского поселения </w:t>
      </w:r>
      <w:proofErr w:type="gramEnd"/>
    </w:p>
    <w:p w:rsidR="00D22E7F" w:rsidRDefault="00D22E7F" w:rsidP="00D22E7F">
      <w:pPr>
        <w:ind w:firstLine="709"/>
        <w:jc w:val="center"/>
        <w:rPr>
          <w:b/>
          <w:sz w:val="26"/>
          <w:szCs w:val="26"/>
        </w:rPr>
      </w:pPr>
      <w:r w:rsidRPr="009D3E93">
        <w:rPr>
          <w:b/>
          <w:sz w:val="26"/>
          <w:szCs w:val="26"/>
        </w:rPr>
        <w:t>Р</w:t>
      </w:r>
      <w:r w:rsidRPr="00E40DEE">
        <w:rPr>
          <w:b/>
          <w:sz w:val="26"/>
          <w:szCs w:val="26"/>
        </w:rPr>
        <w:t>ЕШИЛО:</w:t>
      </w:r>
    </w:p>
    <w:p w:rsidR="00D22E7F" w:rsidRDefault="00D22E7F" w:rsidP="007D151D">
      <w:pPr>
        <w:rPr>
          <w:b/>
          <w:sz w:val="26"/>
          <w:szCs w:val="26"/>
        </w:rPr>
      </w:pPr>
    </w:p>
    <w:p w:rsidR="00D22E7F" w:rsidRDefault="007D151D" w:rsidP="00840ADA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</w:t>
      </w:r>
      <w:r w:rsidR="00D22E7F">
        <w:rPr>
          <w:sz w:val="26"/>
          <w:szCs w:val="26"/>
        </w:rPr>
        <w:t>1</w:t>
      </w:r>
      <w:r w:rsidR="00D22E7F" w:rsidRPr="001000F5">
        <w:rPr>
          <w:sz w:val="26"/>
          <w:szCs w:val="26"/>
        </w:rPr>
        <w:t xml:space="preserve">. </w:t>
      </w:r>
      <w:r w:rsidR="00D22E7F" w:rsidRPr="00840ADA">
        <w:rPr>
          <w:sz w:val="28"/>
          <w:szCs w:val="28"/>
        </w:rPr>
        <w:t>Внести</w:t>
      </w:r>
      <w:r w:rsidR="00D22E7F" w:rsidRPr="001000F5">
        <w:rPr>
          <w:sz w:val="26"/>
          <w:szCs w:val="26"/>
        </w:rPr>
        <w:t xml:space="preserve"> </w:t>
      </w:r>
      <w:r w:rsidR="00840ADA" w:rsidRPr="00840ADA">
        <w:rPr>
          <w:bCs/>
          <w:sz w:val="28"/>
          <w:szCs w:val="28"/>
        </w:rPr>
        <w:t xml:space="preserve">в Положение о муниципальном  контроле в сфере благоустройства на территории Красноярского сельского поселении, утвержденное решением № 91  от 30.09.2021 г. (в </w:t>
      </w:r>
      <w:r w:rsidR="00055BBC">
        <w:rPr>
          <w:bCs/>
          <w:sz w:val="28"/>
          <w:szCs w:val="28"/>
        </w:rPr>
        <w:t>ред. решений № 100 от 25.11.2021</w:t>
      </w:r>
      <w:r w:rsidR="00840ADA" w:rsidRPr="00840ADA">
        <w:rPr>
          <w:bCs/>
          <w:sz w:val="28"/>
          <w:szCs w:val="28"/>
        </w:rPr>
        <w:t xml:space="preserve"> г., № 120 от 24.02.2022 г.)</w:t>
      </w:r>
      <w:r w:rsidR="00840ADA">
        <w:rPr>
          <w:bCs/>
          <w:sz w:val="28"/>
          <w:szCs w:val="28"/>
        </w:rPr>
        <w:t xml:space="preserve"> </w:t>
      </w:r>
      <w:r w:rsidR="00D22E7F" w:rsidRPr="00840ADA">
        <w:rPr>
          <w:sz w:val="28"/>
          <w:szCs w:val="28"/>
        </w:rPr>
        <w:t>следующие изменения:</w:t>
      </w:r>
    </w:p>
    <w:p w:rsidR="00F92926" w:rsidRPr="00840ADA" w:rsidRDefault="00F92926" w:rsidP="00840ADA">
      <w:pPr>
        <w:jc w:val="both"/>
        <w:rPr>
          <w:bCs/>
          <w:sz w:val="28"/>
          <w:szCs w:val="28"/>
        </w:rPr>
      </w:pPr>
    </w:p>
    <w:p w:rsidR="00F91E7D" w:rsidRPr="007D151D" w:rsidRDefault="00C62651" w:rsidP="00D22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2.4</w:t>
      </w:r>
      <w:r w:rsidR="000A2B29" w:rsidRPr="007D151D">
        <w:rPr>
          <w:sz w:val="28"/>
          <w:szCs w:val="28"/>
        </w:rPr>
        <w:t xml:space="preserve">. </w:t>
      </w:r>
      <w:r w:rsidR="00D22E7F" w:rsidRPr="007D151D">
        <w:rPr>
          <w:sz w:val="28"/>
          <w:szCs w:val="28"/>
        </w:rPr>
        <w:t xml:space="preserve"> дополнить абзацем следующего содержания: </w:t>
      </w:r>
    </w:p>
    <w:p w:rsidR="00D22E7F" w:rsidRPr="007D151D" w:rsidRDefault="00D22E7F" w:rsidP="00F91E7D">
      <w:pPr>
        <w:jc w:val="both"/>
        <w:rPr>
          <w:i/>
          <w:iCs/>
          <w:sz w:val="28"/>
          <w:szCs w:val="28"/>
        </w:rPr>
      </w:pPr>
      <w:r w:rsidRPr="007D151D">
        <w:rPr>
          <w:sz w:val="28"/>
          <w:szCs w:val="28"/>
        </w:rPr>
        <w:t xml:space="preserve">«Контролируемое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 w:rsidRPr="007D151D">
        <w:rPr>
          <w:sz w:val="28"/>
          <w:szCs w:val="28"/>
        </w:rPr>
        <w:t>позднее</w:t>
      </w:r>
      <w:proofErr w:type="gramEnd"/>
      <w:r w:rsidRPr="007D151D">
        <w:rPr>
          <w:sz w:val="28"/>
          <w:szCs w:val="28"/>
        </w:rP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 год. Такой профилактический визит проводится не </w:t>
      </w:r>
      <w:proofErr w:type="gramStart"/>
      <w:r w:rsidRPr="007D151D">
        <w:rPr>
          <w:sz w:val="28"/>
          <w:szCs w:val="28"/>
        </w:rPr>
        <w:t>позднее</w:t>
      </w:r>
      <w:proofErr w:type="gramEnd"/>
      <w:r w:rsidRPr="007D151D">
        <w:rPr>
          <w:sz w:val="28"/>
          <w:szCs w:val="28"/>
        </w:rPr>
        <w:t xml:space="preserve"> чем за один месяц до даты проведения планового контрольного (надзорного) мероприятия, при этом дата его проведения предварительно </w:t>
      </w:r>
      <w:r w:rsidRPr="007D151D">
        <w:rPr>
          <w:sz w:val="28"/>
          <w:szCs w:val="28"/>
        </w:rPr>
        <w:lastRenderedPageBreak/>
        <w:t>согласовывается с контролируемым лицом любым способом, обеспечивающим фиксирование такого согласования»</w:t>
      </w:r>
      <w:r w:rsidR="00F91E7D" w:rsidRPr="007D151D">
        <w:rPr>
          <w:sz w:val="28"/>
          <w:szCs w:val="28"/>
        </w:rPr>
        <w:t>.</w:t>
      </w:r>
    </w:p>
    <w:p w:rsidR="00B71DD3" w:rsidRPr="00566246" w:rsidRDefault="00B71DD3" w:rsidP="00B71DD3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  <w:r>
        <w:t xml:space="preserve">  </w:t>
      </w:r>
      <w:r w:rsidRPr="00B71DD3">
        <w:rPr>
          <w:sz w:val="28"/>
          <w:szCs w:val="28"/>
        </w:rPr>
        <w:t>2</w:t>
      </w:r>
      <w:r w:rsidRPr="00566246">
        <w:rPr>
          <w:bCs/>
          <w:sz w:val="28"/>
          <w:szCs w:val="28"/>
        </w:rPr>
        <w:t>)</w:t>
      </w:r>
      <w:r w:rsidRPr="00566246">
        <w:rPr>
          <w:sz w:val="28"/>
          <w:szCs w:val="28"/>
        </w:rPr>
        <w:t xml:space="preserve"> Дополнить пунктом 3.4.1. следующего содержания:</w:t>
      </w: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«В 2022</w:t>
      </w:r>
      <w:r>
        <w:rPr>
          <w:rFonts w:ascii="Times New Roman" w:hAnsi="Times New Roman" w:cs="Times New Roman"/>
          <w:sz w:val="28"/>
          <w:szCs w:val="28"/>
        </w:rPr>
        <w:t>-2023  годах</w:t>
      </w:r>
      <w:r w:rsidRPr="00566246">
        <w:rPr>
          <w:rFonts w:ascii="Times New Roman" w:hAnsi="Times New Roman" w:cs="Times New Roman"/>
          <w:sz w:val="28"/>
          <w:szCs w:val="28"/>
        </w:rPr>
        <w:t xml:space="preserve"> внеплановые контрольные (надзорные) мероприятия, внеплановые проверки проводятся исключительно по следующим основаниям:</w:t>
      </w: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а) при условии согласования с органами прокуратуры:</w:t>
      </w:r>
    </w:p>
    <w:p w:rsidR="00B71DD3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B71DD3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B71DD3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B71DD3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</w:t>
      </w:r>
      <w:r w:rsidR="00DE3A00">
        <w:rPr>
          <w:rFonts w:ascii="Times New Roman" w:hAnsi="Times New Roman" w:cs="Times New Roman"/>
          <w:sz w:val="28"/>
          <w:szCs w:val="28"/>
        </w:rPr>
        <w:t>;</w:t>
      </w:r>
      <w:r w:rsidRPr="00566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D3" w:rsidRDefault="00B71DD3" w:rsidP="00B71DD3">
      <w:pPr>
        <w:pStyle w:val="s1"/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</w:p>
    <w:p w:rsidR="00B71DD3" w:rsidRPr="0014171F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141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B71DD3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б) без согласования с органами прокуратуры:</w:t>
      </w:r>
    </w:p>
    <w:p w:rsidR="00B71DD3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B71DD3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Федерации, принятому после </w:t>
      </w:r>
      <w:hyperlink r:id="rId5" w:anchor="/document/403681894/entry/12" w:history="1">
        <w:r w:rsidRPr="001417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вступления в силу</w:t>
        </w:r>
      </w:hyperlink>
      <w:r w:rsidRPr="00566246">
        <w:rPr>
          <w:rFonts w:ascii="Times New Roman" w:hAnsi="Times New Roman" w:cs="Times New Roman"/>
          <w:sz w:val="28"/>
          <w:szCs w:val="28"/>
        </w:rPr>
        <w:t xml:space="preserve"> постановления Правительства РФ от 10.03.2022 г. № 336 </w:t>
      </w:r>
      <w:r w:rsidRPr="00566246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566246">
        <w:rPr>
          <w:rFonts w:ascii="Times New Roman" w:hAnsi="Times New Roman" w:cs="Times New Roman"/>
          <w:sz w:val="28"/>
          <w:szCs w:val="28"/>
        </w:rPr>
        <w:t>;</w:t>
      </w:r>
    </w:p>
    <w:p w:rsidR="00B71DD3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Федерации, принятому </w:t>
      </w:r>
      <w:r w:rsidRPr="00566246">
        <w:rPr>
          <w:rFonts w:ascii="Times New Roman" w:hAnsi="Times New Roman" w:cs="Times New Roman"/>
          <w:sz w:val="28"/>
          <w:szCs w:val="28"/>
        </w:rPr>
        <w:t>после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/document/403681894/entry/12" w:history="1">
        <w:r w:rsidRPr="001417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вступления в силу</w:t>
        </w:r>
      </w:hyperlink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66246">
        <w:rPr>
          <w:rFonts w:ascii="Times New Roman" w:hAnsi="Times New Roman" w:cs="Times New Roman"/>
          <w:sz w:val="28"/>
          <w:szCs w:val="28"/>
        </w:rPr>
        <w:t xml:space="preserve"> постановления Правительства РФ от 10.03.2022 г. № 336 </w:t>
      </w:r>
      <w:r w:rsidRPr="0056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особенностях организации и осуществления государственного контроля (надзора), муниципального </w:t>
      </w:r>
      <w:r w:rsidRPr="005662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контроля»</w:t>
      </w:r>
      <w:r w:rsidRPr="00566246">
        <w:rPr>
          <w:rFonts w:ascii="Times New Roman" w:hAnsi="Times New Roman" w:cs="Times New Roman"/>
          <w:sz w:val="28"/>
          <w:szCs w:val="28"/>
        </w:rPr>
        <w:t xml:space="preserve">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B71DD3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71DD3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B71DD3" w:rsidRDefault="0099303E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641324" w:rsidRPr="00641324" w:rsidRDefault="00641324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B71DD3" w:rsidRPr="00566246" w:rsidRDefault="00B71DD3" w:rsidP="00B71DD3">
      <w:pPr>
        <w:pStyle w:val="s1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66246">
        <w:rPr>
          <w:rFonts w:ascii="Times New Roman" w:hAnsi="Times New Roman" w:cs="Times New Roman"/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 </w:t>
      </w:r>
      <w:hyperlink r:id="rId7" w:anchor="/document/10105879/entry/320422" w:history="1">
        <w:r w:rsidRPr="001417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2</w:t>
        </w:r>
      </w:hyperlink>
      <w:r w:rsidRPr="0014171F">
        <w:rPr>
          <w:rFonts w:ascii="Times New Roman" w:hAnsi="Times New Roman" w:cs="Times New Roman"/>
          <w:sz w:val="28"/>
          <w:szCs w:val="28"/>
        </w:rPr>
        <w:t>, </w:t>
      </w:r>
      <w:hyperlink r:id="rId8" w:anchor="/document/10105879/entry/320423" w:history="1">
        <w:r w:rsidRPr="001417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14171F">
        <w:rPr>
          <w:rFonts w:ascii="Times New Roman" w:hAnsi="Times New Roman" w:cs="Times New Roman"/>
          <w:sz w:val="28"/>
          <w:szCs w:val="28"/>
        </w:rPr>
        <w:t>, </w:t>
      </w:r>
      <w:hyperlink r:id="rId9" w:anchor="/document/10105879/entry/320425" w:history="1">
        <w:r w:rsidRPr="001417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566246">
        <w:rPr>
          <w:rFonts w:ascii="Times New Roman" w:hAnsi="Times New Roman" w:cs="Times New Roman"/>
          <w:sz w:val="28"/>
          <w:szCs w:val="28"/>
        </w:rPr>
        <w:t> и </w:t>
      </w:r>
      <w:hyperlink r:id="rId10" w:anchor="/document/10105879/entry/320426" w:history="1">
        <w:r w:rsidRPr="001417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6 пункта 4</w:t>
        </w:r>
        <w:r w:rsidRPr="001417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 2</w:t>
        </w:r>
        <w:r w:rsidRPr="001417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 статьи 32</w:t>
        </w:r>
      </w:hyperlink>
      <w:r w:rsidRPr="00566246">
        <w:rPr>
          <w:rFonts w:ascii="Times New Roman" w:hAnsi="Times New Roman" w:cs="Times New Roman"/>
          <w:sz w:val="28"/>
          <w:szCs w:val="28"/>
        </w:rPr>
        <w:t> Федерального закона "О некоммерческих организациях", а также религиозных организаций по основанию, установленному </w:t>
      </w:r>
      <w:hyperlink r:id="rId11" w:anchor="/document/171640/entry/25053" w:history="1">
        <w:r w:rsidRPr="0014171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третьим пункта 5 статьи 25</w:t>
        </w:r>
      </w:hyperlink>
      <w:r w:rsidRPr="00566246">
        <w:rPr>
          <w:rFonts w:ascii="Times New Roman" w:hAnsi="Times New Roman" w:cs="Times New Roman"/>
          <w:sz w:val="28"/>
          <w:szCs w:val="28"/>
        </w:rPr>
        <w:t> Федерального закона "О свободе совести и о религиозных объединениях".</w:t>
      </w:r>
    </w:p>
    <w:p w:rsidR="00B71DD3" w:rsidRDefault="00B71DD3" w:rsidP="00254C56">
      <w:pPr>
        <w:jc w:val="both"/>
      </w:pPr>
    </w:p>
    <w:p w:rsidR="00121ADC" w:rsidRDefault="0099303E" w:rsidP="00254C56">
      <w:pPr>
        <w:jc w:val="both"/>
        <w:rPr>
          <w:bCs/>
          <w:sz w:val="28"/>
          <w:szCs w:val="28"/>
        </w:rPr>
      </w:pPr>
      <w:r>
        <w:t xml:space="preserve">       </w:t>
      </w:r>
      <w:r w:rsidR="00F8350C">
        <w:t xml:space="preserve">  </w:t>
      </w:r>
      <w:r>
        <w:rPr>
          <w:sz w:val="28"/>
          <w:szCs w:val="28"/>
        </w:rPr>
        <w:t>3</w:t>
      </w:r>
      <w:r>
        <w:t>)</w:t>
      </w:r>
      <w:r w:rsidR="00D22E7F">
        <w:t xml:space="preserve"> </w:t>
      </w:r>
      <w:r w:rsidR="00121ADC">
        <w:rPr>
          <w:bCs/>
          <w:sz w:val="28"/>
          <w:szCs w:val="28"/>
        </w:rPr>
        <w:t xml:space="preserve">Пункт 3.19. Положения дополнить абзацем следующего содержания: </w:t>
      </w:r>
    </w:p>
    <w:p w:rsidR="00121ADC" w:rsidRDefault="00121ADC" w:rsidP="00254C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121ADC" w:rsidRDefault="00121ADC" w:rsidP="00121AD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C62651" w:rsidRDefault="00C62651" w:rsidP="00121ADC">
      <w:pPr>
        <w:ind w:firstLine="720"/>
        <w:jc w:val="both"/>
        <w:rPr>
          <w:bCs/>
          <w:sz w:val="28"/>
          <w:szCs w:val="28"/>
        </w:rPr>
      </w:pPr>
    </w:p>
    <w:p w:rsidR="00D22E7F" w:rsidRPr="00254C56" w:rsidRDefault="00D22E7F" w:rsidP="000A2B29">
      <w:pPr>
        <w:pStyle w:val="a3"/>
        <w:numPr>
          <w:ilvl w:val="0"/>
          <w:numId w:val="3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54C56">
        <w:rPr>
          <w:sz w:val="28"/>
          <w:szCs w:val="28"/>
        </w:rPr>
        <w:t>Настоящее решение вступает в силу после его обнародования.</w:t>
      </w:r>
    </w:p>
    <w:p w:rsidR="00D22E7F" w:rsidRPr="00CC0BC4" w:rsidRDefault="00D22E7F" w:rsidP="00D22E7F">
      <w:pPr>
        <w:ind w:firstLine="709"/>
        <w:jc w:val="both"/>
        <w:rPr>
          <w:sz w:val="26"/>
          <w:szCs w:val="26"/>
        </w:rPr>
      </w:pPr>
    </w:p>
    <w:p w:rsidR="00D22E7F" w:rsidRDefault="00D22E7F" w:rsidP="00D22E7F">
      <w:pPr>
        <w:ind w:firstLine="709"/>
        <w:jc w:val="center"/>
        <w:rPr>
          <w:b/>
          <w:sz w:val="26"/>
          <w:szCs w:val="26"/>
        </w:rPr>
      </w:pPr>
    </w:p>
    <w:p w:rsidR="00D22E7F" w:rsidRDefault="00D22E7F" w:rsidP="00D22E7F">
      <w:pPr>
        <w:ind w:firstLine="709"/>
        <w:jc w:val="center"/>
        <w:rPr>
          <w:b/>
          <w:sz w:val="26"/>
          <w:szCs w:val="26"/>
        </w:rPr>
      </w:pPr>
    </w:p>
    <w:p w:rsidR="00D22E7F" w:rsidRDefault="00F92926" w:rsidP="00F92926">
      <w:pPr>
        <w:rPr>
          <w:sz w:val="26"/>
          <w:szCs w:val="26"/>
        </w:rPr>
      </w:pPr>
      <w:r>
        <w:rPr>
          <w:sz w:val="26"/>
          <w:szCs w:val="26"/>
        </w:rPr>
        <w:t>Глава Красноярского сельского поселения,</w:t>
      </w:r>
    </w:p>
    <w:p w:rsidR="00D22E7F" w:rsidRPr="00F92926" w:rsidRDefault="00F92926" w:rsidP="00F92926">
      <w:pPr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                                                   Т.И. Семенова</w:t>
      </w:r>
    </w:p>
    <w:p w:rsidR="00EA3A88" w:rsidRDefault="00EA3A88"/>
    <w:sectPr w:rsidR="00EA3A88" w:rsidSect="00F408D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2012"/>
    <w:multiLevelType w:val="hybridMultilevel"/>
    <w:tmpl w:val="0904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72DAA"/>
    <w:multiLevelType w:val="multilevel"/>
    <w:tmpl w:val="45272D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E7F"/>
    <w:rsid w:val="00055BBC"/>
    <w:rsid w:val="000A2B29"/>
    <w:rsid w:val="00121ADC"/>
    <w:rsid w:val="00132071"/>
    <w:rsid w:val="0014171F"/>
    <w:rsid w:val="00254C56"/>
    <w:rsid w:val="004E6DF2"/>
    <w:rsid w:val="005426E0"/>
    <w:rsid w:val="00566246"/>
    <w:rsid w:val="00641324"/>
    <w:rsid w:val="007D151D"/>
    <w:rsid w:val="00840ADA"/>
    <w:rsid w:val="00876C8E"/>
    <w:rsid w:val="0099303E"/>
    <w:rsid w:val="00B02AAA"/>
    <w:rsid w:val="00B11BEE"/>
    <w:rsid w:val="00B71DD3"/>
    <w:rsid w:val="00BA0A51"/>
    <w:rsid w:val="00C51677"/>
    <w:rsid w:val="00C62651"/>
    <w:rsid w:val="00CB3195"/>
    <w:rsid w:val="00CD50DB"/>
    <w:rsid w:val="00CF20E6"/>
    <w:rsid w:val="00D22E7F"/>
    <w:rsid w:val="00DC7254"/>
    <w:rsid w:val="00DE3A00"/>
    <w:rsid w:val="00DE72DF"/>
    <w:rsid w:val="00EA3A88"/>
    <w:rsid w:val="00F113F3"/>
    <w:rsid w:val="00F408D0"/>
    <w:rsid w:val="00F5772D"/>
    <w:rsid w:val="00F8350C"/>
    <w:rsid w:val="00F91E7D"/>
    <w:rsid w:val="00F9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151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7F"/>
    <w:pPr>
      <w:ind w:left="720"/>
      <w:contextualSpacing/>
    </w:pPr>
  </w:style>
  <w:style w:type="paragraph" w:customStyle="1" w:styleId="s1">
    <w:name w:val="s_1"/>
    <w:basedOn w:val="a"/>
    <w:rsid w:val="00D22E7F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4">
    <w:name w:val="Body Text"/>
    <w:basedOn w:val="a"/>
    <w:link w:val="a5"/>
    <w:rsid w:val="00D22E7F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D22E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D15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qFormat/>
    <w:rsid w:val="00566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20</cp:revision>
  <cp:lastPrinted>2023-03-01T11:47:00Z</cp:lastPrinted>
  <dcterms:created xsi:type="dcterms:W3CDTF">2023-02-07T11:31:00Z</dcterms:created>
  <dcterms:modified xsi:type="dcterms:W3CDTF">2023-03-01T12:02:00Z</dcterms:modified>
</cp:coreProperties>
</file>